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99" w:rsidRPr="00C97899" w:rsidRDefault="00C97899" w:rsidP="00C9789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DECRETO Nº 536</w:t>
      </w:r>
    </w:p>
    <w:p w:rsidR="00C97899" w:rsidRPr="00C97899" w:rsidRDefault="00C97899" w:rsidP="00C9789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05-04-2016</w:t>
      </w:r>
    </w:p>
    <w:p w:rsidR="00C97899" w:rsidRPr="00C97899" w:rsidRDefault="00C97899" w:rsidP="00C9789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MINISTERIO DE HACIENDA Y CRÉDITO PÚBLICO</w:t>
      </w:r>
    </w:p>
    <w:p w:rsidR="00C97899" w:rsidRPr="00C97899" w:rsidRDefault="00C97899" w:rsidP="00C9789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proofErr w:type="gramStart"/>
      <w:r w:rsidRPr="00C97899">
        <w:rPr>
          <w:rFonts w:eastAsia="Times New Roman" w:cs="Times New Roman"/>
          <w:i/>
          <w:iCs/>
          <w:szCs w:val="24"/>
          <w:lang w:eastAsia="es-CO"/>
        </w:rPr>
        <w:t>por</w:t>
      </w:r>
      <w:proofErr w:type="gramEnd"/>
      <w:r w:rsidRPr="00C97899">
        <w:rPr>
          <w:rFonts w:eastAsia="Times New Roman" w:cs="Times New Roman"/>
          <w:i/>
          <w:iCs/>
          <w:szCs w:val="24"/>
          <w:lang w:eastAsia="es-CO"/>
        </w:rPr>
        <w:t xml:space="preserve"> el cual se establecen los porcentajes de componente inflacionario no constitutivo de renta, ganancia ocasional, costo o gasto y el rendimiento mínimo anual de préstamos entre las sociedades y sus socios.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El Ministro de Agricultura y Desarrollo Rural, Delegatario de Funciones Presidenciales, mediante Decreto número 523 de 2016, en uso de sus facultades constitucionales y legales, en especial de las conferidas en los numerales 11 y 20 del artículo 189 de la Constitución Política, y en desarrollo de los artículos </w:t>
      </w:r>
      <w:hyperlink r:id="rId4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35</w:t>
        </w:r>
      </w:hyperlink>
      <w:r w:rsidRPr="00C97899">
        <w:rPr>
          <w:rFonts w:eastAsia="Times New Roman" w:cs="Times New Roman"/>
          <w:szCs w:val="24"/>
          <w:lang w:eastAsia="es-CO"/>
        </w:rPr>
        <w:t>, </w:t>
      </w:r>
      <w:hyperlink r:id="rId5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38</w:t>
        </w:r>
      </w:hyperlink>
      <w:r w:rsidRPr="00C97899">
        <w:rPr>
          <w:rFonts w:eastAsia="Times New Roman" w:cs="Times New Roman"/>
          <w:szCs w:val="24"/>
          <w:lang w:eastAsia="es-CO"/>
        </w:rPr>
        <w:t>, </w:t>
      </w:r>
      <w:hyperlink r:id="rId6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39</w:t>
        </w:r>
      </w:hyperlink>
      <w:r w:rsidRPr="00C97899">
        <w:rPr>
          <w:rFonts w:eastAsia="Times New Roman" w:cs="Times New Roman"/>
          <w:szCs w:val="24"/>
          <w:lang w:eastAsia="es-CO"/>
        </w:rPr>
        <w:t>, </w:t>
      </w:r>
      <w:hyperlink r:id="rId7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40-1</w:t>
        </w:r>
      </w:hyperlink>
      <w:r w:rsidRPr="00C97899">
        <w:rPr>
          <w:rFonts w:eastAsia="Times New Roman" w:cs="Times New Roman"/>
          <w:szCs w:val="24"/>
          <w:lang w:eastAsia="es-CO"/>
        </w:rPr>
        <w:t>, </w:t>
      </w:r>
      <w:hyperlink r:id="rId8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41</w:t>
        </w:r>
      </w:hyperlink>
      <w:r w:rsidRPr="00C97899">
        <w:rPr>
          <w:rFonts w:eastAsia="Times New Roman" w:cs="Times New Roman"/>
          <w:szCs w:val="24"/>
          <w:lang w:eastAsia="es-CO"/>
        </w:rPr>
        <w:t>, </w:t>
      </w:r>
      <w:hyperlink r:id="rId9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81</w:t>
        </w:r>
      </w:hyperlink>
      <w:r w:rsidRPr="00C97899">
        <w:rPr>
          <w:rFonts w:eastAsia="Times New Roman" w:cs="Times New Roman"/>
          <w:szCs w:val="24"/>
          <w:lang w:eastAsia="es-CO"/>
        </w:rPr>
        <w:t>, </w:t>
      </w:r>
      <w:hyperlink r:id="rId10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81-1</w:t>
        </w:r>
      </w:hyperlink>
      <w:r w:rsidRPr="00C97899">
        <w:rPr>
          <w:rFonts w:eastAsia="Times New Roman" w:cs="Times New Roman"/>
          <w:szCs w:val="24"/>
          <w:lang w:eastAsia="es-CO"/>
        </w:rPr>
        <w:t> y </w:t>
      </w:r>
      <w:hyperlink r:id="rId11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118</w:t>
        </w:r>
      </w:hyperlink>
      <w:r w:rsidRPr="00C97899">
        <w:rPr>
          <w:rFonts w:eastAsia="Times New Roman" w:cs="Times New Roman"/>
          <w:szCs w:val="24"/>
          <w:lang w:eastAsia="es-CO"/>
        </w:rPr>
        <w:t> del Estatuto Tributario, y</w:t>
      </w:r>
    </w:p>
    <w:p w:rsidR="00C97899" w:rsidRPr="00C97899" w:rsidRDefault="00C97899" w:rsidP="00C9789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CONSIDERANDO: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Que de conformidad con el </w:t>
      </w:r>
      <w:hyperlink r:id="rId12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artículo 41</w:t>
        </w:r>
      </w:hyperlink>
      <w:r w:rsidRPr="00C97899">
        <w:rPr>
          <w:rFonts w:eastAsia="Times New Roman" w:cs="Times New Roman"/>
          <w:szCs w:val="24"/>
          <w:lang w:eastAsia="es-CO"/>
        </w:rPr>
        <w:t> del Estatuto Tributario, el componente inflacionario de los rendimientos y gastos financieros a que se refieren los artículos </w:t>
      </w:r>
      <w:hyperlink r:id="rId13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40-1</w:t>
        </w:r>
      </w:hyperlink>
      <w:r w:rsidRPr="00C97899">
        <w:rPr>
          <w:rFonts w:eastAsia="Times New Roman" w:cs="Times New Roman"/>
          <w:szCs w:val="24"/>
          <w:lang w:eastAsia="es-CO"/>
        </w:rPr>
        <w:t>, </w:t>
      </w:r>
      <w:hyperlink r:id="rId14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81-1</w:t>
        </w:r>
      </w:hyperlink>
      <w:r w:rsidRPr="00C97899">
        <w:rPr>
          <w:rFonts w:eastAsia="Times New Roman" w:cs="Times New Roman"/>
          <w:szCs w:val="24"/>
          <w:lang w:eastAsia="es-CO"/>
        </w:rPr>
        <w:t> y </w:t>
      </w:r>
      <w:hyperlink r:id="rId15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118</w:t>
        </w:r>
      </w:hyperlink>
      <w:r w:rsidRPr="00C97899">
        <w:rPr>
          <w:rFonts w:eastAsia="Times New Roman" w:cs="Times New Roman"/>
          <w:szCs w:val="24"/>
          <w:lang w:eastAsia="es-CO"/>
        </w:rPr>
        <w:t> ibídem, será aplicable únicamente por las personas naturales y sucesiones ilíquidas no obligadas a llevar libros de contabilidad.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Que según lo dispuesto por el </w:t>
      </w:r>
      <w:hyperlink r:id="rId16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artículo 35</w:t>
        </w:r>
      </w:hyperlink>
      <w:r w:rsidRPr="00C97899">
        <w:rPr>
          <w:rFonts w:eastAsia="Times New Roman" w:cs="Times New Roman"/>
          <w:szCs w:val="24"/>
          <w:lang w:eastAsia="es-CO"/>
        </w:rPr>
        <w:t> del Estatuto Tributario, para efectos del impuesto sobre la renta, se presume de derecho que todo préstamo en dinero, cualquiera que sea su naturaleza o denominación, que otorguen las sociedades a sus socios o accionistas o estos a la sociedad, genera un rendimiento mínimo anual y proporcional al tiempo de posesión, equivalente a la tasa para DTF vigente a 31 de diciembre del año inmediatamente anterior al gravable.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Que cumplida la formalidad prevista en el numeral 8 del artículo 8º, del Código de Procedimiento Administrativo y de lo Contencioso Administrativo en relación con el texto del presente Decreto,</w:t>
      </w:r>
    </w:p>
    <w:p w:rsidR="00C97899" w:rsidRPr="00C97899" w:rsidRDefault="00C97899" w:rsidP="00C9789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DECRETA: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Disposiciones aplicables para el año gravable 2015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Artículo 1°. </w:t>
      </w:r>
      <w:r w:rsidRPr="00C97899">
        <w:rPr>
          <w:rFonts w:eastAsia="Times New Roman" w:cs="Times New Roman"/>
          <w:i/>
          <w:iCs/>
          <w:szCs w:val="24"/>
          <w:lang w:eastAsia="es-CO"/>
        </w:rPr>
        <w:t>Componente inflacionario de los rendimientos financieros percibidos durante el año gravable 2015, por personas naturales y sucesiones ilíquidas, no obligadas a llevar libros de contabilidad. </w:t>
      </w:r>
      <w:r w:rsidRPr="00C97899">
        <w:rPr>
          <w:rFonts w:eastAsia="Times New Roman" w:cs="Times New Roman"/>
          <w:szCs w:val="24"/>
          <w:lang w:eastAsia="es-CO"/>
        </w:rPr>
        <w:t>No constituye renta ni ganancia ocasional por el año gravable 2015, el ciento por ciento (100.00%) del valor de los rendimientos financieros percibidos por personas naturales y sucesiones ilíquidas, no obligadas a llevar libros de contabilidad, de conformidad con lo previsto en los artículos </w:t>
      </w:r>
      <w:hyperlink r:id="rId17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38</w:t>
        </w:r>
      </w:hyperlink>
      <w:r w:rsidRPr="00C97899">
        <w:rPr>
          <w:rFonts w:eastAsia="Times New Roman" w:cs="Times New Roman"/>
          <w:szCs w:val="24"/>
          <w:lang w:eastAsia="es-CO"/>
        </w:rPr>
        <w:t>, </w:t>
      </w:r>
      <w:hyperlink r:id="rId18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40-1</w:t>
        </w:r>
      </w:hyperlink>
      <w:r w:rsidRPr="00C97899">
        <w:rPr>
          <w:rFonts w:eastAsia="Times New Roman" w:cs="Times New Roman"/>
          <w:szCs w:val="24"/>
          <w:lang w:eastAsia="es-CO"/>
        </w:rPr>
        <w:t> y </w:t>
      </w:r>
      <w:hyperlink r:id="rId19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41</w:t>
        </w:r>
      </w:hyperlink>
      <w:r w:rsidRPr="00C97899">
        <w:rPr>
          <w:rFonts w:eastAsia="Times New Roman" w:cs="Times New Roman"/>
          <w:szCs w:val="24"/>
          <w:lang w:eastAsia="es-CO"/>
        </w:rPr>
        <w:t> del Estatuto Tributario.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Artículo 2°.</w:t>
      </w:r>
      <w:r w:rsidRPr="00C97899">
        <w:rPr>
          <w:rFonts w:eastAsia="Times New Roman" w:cs="Times New Roman"/>
          <w:szCs w:val="24"/>
          <w:lang w:eastAsia="es-CO"/>
        </w:rPr>
        <w:t> </w:t>
      </w:r>
      <w:r w:rsidRPr="00C97899">
        <w:rPr>
          <w:rFonts w:eastAsia="Times New Roman" w:cs="Times New Roman"/>
          <w:i/>
          <w:iCs/>
          <w:szCs w:val="24"/>
          <w:lang w:eastAsia="es-CO"/>
        </w:rPr>
        <w:t>Componente inflacionario de los rendimientos financieros que distribuyan los Fondos de Inversión, Mutuos de Inversión y de Valores. </w:t>
      </w:r>
      <w:r w:rsidRPr="00C97899">
        <w:rPr>
          <w:rFonts w:eastAsia="Times New Roman" w:cs="Times New Roman"/>
          <w:szCs w:val="24"/>
          <w:lang w:eastAsia="es-CO"/>
        </w:rPr>
        <w:t>Para el año gravable 2015, las utilidades que los fondos mutuos de inversión, fondos de inversión y fondos de valores distribuyan o abonen en cuenta a sus afiliados, personas naturales y sucesiones ilíquidas, no obligadas a llevar contabilidad, no constituye renta ni ganancia ocasional el ciento por ciento (100.00%), del valor de los rendimientos financieros recibidos por el fondo, correspondiente al componente inflacionario, de acuerdo con lo dispuesto en los artículos </w:t>
      </w:r>
      <w:hyperlink r:id="rId20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39</w:t>
        </w:r>
      </w:hyperlink>
      <w:r w:rsidRPr="00C97899">
        <w:rPr>
          <w:rFonts w:eastAsia="Times New Roman" w:cs="Times New Roman"/>
          <w:szCs w:val="24"/>
          <w:lang w:eastAsia="es-CO"/>
        </w:rPr>
        <w:t>, </w:t>
      </w:r>
      <w:hyperlink r:id="rId21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40-1</w:t>
        </w:r>
      </w:hyperlink>
      <w:r w:rsidRPr="00C97899">
        <w:rPr>
          <w:rFonts w:eastAsia="Times New Roman" w:cs="Times New Roman"/>
          <w:szCs w:val="24"/>
          <w:lang w:eastAsia="es-CO"/>
        </w:rPr>
        <w:t> y </w:t>
      </w:r>
      <w:hyperlink r:id="rId22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41</w:t>
        </w:r>
      </w:hyperlink>
      <w:r w:rsidRPr="00C97899">
        <w:rPr>
          <w:rFonts w:eastAsia="Times New Roman" w:cs="Times New Roman"/>
          <w:szCs w:val="24"/>
          <w:lang w:eastAsia="es-CO"/>
        </w:rPr>
        <w:t> del Estatuto Tributario.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lastRenderedPageBreak/>
        <w:t>Artículo 3°.</w:t>
      </w:r>
      <w:r w:rsidRPr="00C97899">
        <w:rPr>
          <w:rFonts w:eastAsia="Times New Roman" w:cs="Times New Roman"/>
          <w:szCs w:val="24"/>
          <w:lang w:eastAsia="es-CO"/>
        </w:rPr>
        <w:t> </w:t>
      </w:r>
      <w:r w:rsidRPr="00C97899">
        <w:rPr>
          <w:rFonts w:eastAsia="Times New Roman" w:cs="Times New Roman"/>
          <w:i/>
          <w:iCs/>
          <w:szCs w:val="24"/>
          <w:lang w:eastAsia="es-CO"/>
        </w:rPr>
        <w:t>Componente inflacionario de los costos y gastos financieros de las personas naturales y sucesiones ilíquidas, no obligadas a llevar libros de contabilidad, contribuyentes del impuesto sobre la renta y complementarios. </w:t>
      </w:r>
      <w:r w:rsidRPr="00C97899">
        <w:rPr>
          <w:rFonts w:eastAsia="Times New Roman" w:cs="Times New Roman"/>
          <w:szCs w:val="24"/>
          <w:lang w:eastAsia="es-CO"/>
        </w:rPr>
        <w:t>No constituye costo ni deducción para el año gravable 2015, según lo señalado en los artículos </w:t>
      </w:r>
      <w:hyperlink r:id="rId23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41</w:t>
        </w:r>
      </w:hyperlink>
      <w:r w:rsidRPr="00C97899">
        <w:rPr>
          <w:rFonts w:eastAsia="Times New Roman" w:cs="Times New Roman"/>
          <w:szCs w:val="24"/>
          <w:lang w:eastAsia="es-CO"/>
        </w:rPr>
        <w:t>, </w:t>
      </w:r>
      <w:hyperlink r:id="rId24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81</w:t>
        </w:r>
      </w:hyperlink>
      <w:r w:rsidRPr="00C97899">
        <w:rPr>
          <w:rFonts w:eastAsia="Times New Roman" w:cs="Times New Roman"/>
          <w:szCs w:val="24"/>
          <w:lang w:eastAsia="es-CO"/>
        </w:rPr>
        <w:t>, </w:t>
      </w:r>
      <w:hyperlink r:id="rId25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81-1</w:t>
        </w:r>
      </w:hyperlink>
      <w:r w:rsidRPr="00C97899">
        <w:rPr>
          <w:rFonts w:eastAsia="Times New Roman" w:cs="Times New Roman"/>
          <w:szCs w:val="24"/>
          <w:lang w:eastAsia="es-CO"/>
        </w:rPr>
        <w:t> y </w:t>
      </w:r>
      <w:hyperlink r:id="rId26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118</w:t>
        </w:r>
      </w:hyperlink>
      <w:r w:rsidRPr="00C97899">
        <w:rPr>
          <w:rFonts w:eastAsia="Times New Roman" w:cs="Times New Roman"/>
          <w:szCs w:val="24"/>
          <w:lang w:eastAsia="es-CO"/>
        </w:rPr>
        <w:t> del Estatuto Tributario, el treinta y ocho punto cincuenta y uno por ciento (38.51%) de los intereses y demás costos y gastos financieros en que hayan incurrido durante el año o período gravable las personas naturales y sucesiones ilíquidas, no obligadas a llevar libros de contabilidad.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Cuando se trate de ajustes por diferencia en cambio, y de costos y gastos financieros por concepto de deudas en moneda extranjera, no constituye costo ni deducción el diecisiete punto cincuenta y uno por ciento (17.51%) de los mismos, conforme con lo previsto en los artículos </w:t>
      </w:r>
      <w:hyperlink r:id="rId27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41</w:t>
        </w:r>
      </w:hyperlink>
      <w:r w:rsidRPr="00C97899">
        <w:rPr>
          <w:rFonts w:eastAsia="Times New Roman" w:cs="Times New Roman"/>
          <w:szCs w:val="24"/>
          <w:lang w:eastAsia="es-CO"/>
        </w:rPr>
        <w:t>, </w:t>
      </w:r>
      <w:hyperlink r:id="rId28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81</w:t>
        </w:r>
      </w:hyperlink>
      <w:r w:rsidRPr="00C97899">
        <w:rPr>
          <w:rFonts w:eastAsia="Times New Roman" w:cs="Times New Roman"/>
          <w:szCs w:val="24"/>
          <w:lang w:eastAsia="es-CO"/>
        </w:rPr>
        <w:t>, </w:t>
      </w:r>
      <w:hyperlink r:id="rId29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81-1</w:t>
        </w:r>
      </w:hyperlink>
      <w:r w:rsidRPr="00C97899">
        <w:rPr>
          <w:rFonts w:eastAsia="Times New Roman" w:cs="Times New Roman"/>
          <w:szCs w:val="24"/>
          <w:lang w:eastAsia="es-CO"/>
        </w:rPr>
        <w:t> y </w:t>
      </w:r>
      <w:hyperlink r:id="rId30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118</w:t>
        </w:r>
      </w:hyperlink>
      <w:r w:rsidRPr="00C97899">
        <w:rPr>
          <w:rFonts w:eastAsia="Times New Roman" w:cs="Times New Roman"/>
          <w:szCs w:val="24"/>
          <w:lang w:eastAsia="es-CO"/>
        </w:rPr>
        <w:t> del Estatuto Tributario.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Disposición aplicable para el año gravable 2016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Artículo 4°.</w:t>
      </w:r>
      <w:r w:rsidRPr="00C97899">
        <w:rPr>
          <w:rFonts w:eastAsia="Times New Roman" w:cs="Times New Roman"/>
          <w:szCs w:val="24"/>
          <w:lang w:eastAsia="es-CO"/>
        </w:rPr>
        <w:t> </w:t>
      </w:r>
      <w:r w:rsidRPr="00C97899">
        <w:rPr>
          <w:rFonts w:eastAsia="Times New Roman" w:cs="Times New Roman"/>
          <w:i/>
          <w:iCs/>
          <w:szCs w:val="24"/>
          <w:lang w:eastAsia="es-CO"/>
        </w:rPr>
        <w:t>Rendimiento mínimo anual por préstamos otorgados por la sociedad a sus socios o accionistas, o estos a la sociedad. </w:t>
      </w:r>
      <w:r w:rsidRPr="00C97899">
        <w:rPr>
          <w:rFonts w:eastAsia="Times New Roman" w:cs="Times New Roman"/>
          <w:szCs w:val="24"/>
          <w:lang w:eastAsia="es-CO"/>
        </w:rPr>
        <w:t>Para efectos de la determinación del impuesto sobre la renta por el año gravable 2016, se presume de derecho que todo préstamo en dinero, cualquiera que sea su naturaleza o denominación, que otorguen las sociedades a sus socios o accionistas, o estos a la sociedad, genera un rendimiento mínimo anual y proporcional al tiempo de posesión del cinco punto veintidós por ciento (5.22%), de conformidad con lo señalado en el </w:t>
      </w:r>
      <w:hyperlink r:id="rId31" w:tooltip="Estatuto Tributario CETA" w:history="1">
        <w:r w:rsidRPr="00C97899">
          <w:rPr>
            <w:rFonts w:eastAsia="Times New Roman" w:cs="Times New Roman"/>
            <w:szCs w:val="24"/>
            <w:lang w:eastAsia="es-CO"/>
          </w:rPr>
          <w:t>artículo 35</w:t>
        </w:r>
      </w:hyperlink>
      <w:r w:rsidRPr="00C97899">
        <w:rPr>
          <w:rFonts w:eastAsia="Times New Roman" w:cs="Times New Roman"/>
          <w:szCs w:val="24"/>
          <w:lang w:eastAsia="es-CO"/>
        </w:rPr>
        <w:t> del Estatuto Tributario.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Artículo 5°.</w:t>
      </w:r>
      <w:r w:rsidRPr="00C97899">
        <w:rPr>
          <w:rFonts w:eastAsia="Times New Roman" w:cs="Times New Roman"/>
          <w:szCs w:val="24"/>
          <w:lang w:eastAsia="es-CO"/>
        </w:rPr>
        <w:t> </w:t>
      </w:r>
      <w:r w:rsidRPr="00C97899">
        <w:rPr>
          <w:rFonts w:eastAsia="Times New Roman" w:cs="Times New Roman"/>
          <w:i/>
          <w:iCs/>
          <w:szCs w:val="24"/>
          <w:lang w:eastAsia="es-CO"/>
        </w:rPr>
        <w:t>Vigencia</w:t>
      </w:r>
      <w:r w:rsidRPr="00C97899">
        <w:rPr>
          <w:rFonts w:eastAsia="Times New Roman" w:cs="Times New Roman"/>
          <w:szCs w:val="24"/>
          <w:lang w:eastAsia="es-CO"/>
        </w:rPr>
        <w:t>. El presente decreto rige a partir de la fecha de su publicación.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b/>
          <w:bCs/>
          <w:szCs w:val="24"/>
          <w:lang w:eastAsia="es-CO"/>
        </w:rPr>
        <w:t>Publíquese y cúmplase.</w:t>
      </w:r>
    </w:p>
    <w:p w:rsidR="00C97899" w:rsidRDefault="00C97899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Dado en Bogotá, D. C., a 5 de abril de 2016.</w:t>
      </w:r>
    </w:p>
    <w:p w:rsidR="00B868ED" w:rsidRPr="00C97899" w:rsidRDefault="00B868ED" w:rsidP="00C97899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>
        <w:rPr>
          <w:rFonts w:eastAsia="Times New Roman" w:cs="Times New Roman"/>
          <w:szCs w:val="24"/>
          <w:lang w:eastAsia="es-CO"/>
        </w:rPr>
        <w:t>_________________________________________________________________________</w:t>
      </w:r>
      <w:bookmarkStart w:id="0" w:name="_GoBack"/>
      <w:bookmarkEnd w:id="0"/>
    </w:p>
    <w:p w:rsidR="00C97899" w:rsidRPr="00C97899" w:rsidRDefault="00C97899" w:rsidP="00C97899">
      <w:pPr>
        <w:spacing w:after="0" w:line="240" w:lineRule="auto"/>
        <w:jc w:val="right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 </w:t>
      </w:r>
    </w:p>
    <w:p w:rsidR="00C97899" w:rsidRPr="00C97899" w:rsidRDefault="00C97899" w:rsidP="00C97899">
      <w:pPr>
        <w:spacing w:after="0" w:line="240" w:lineRule="auto"/>
        <w:jc w:val="right"/>
        <w:rPr>
          <w:rFonts w:eastAsia="Times New Roman" w:cs="Times New Roman"/>
          <w:szCs w:val="24"/>
          <w:lang w:eastAsia="es-CO"/>
        </w:rPr>
      </w:pPr>
      <w:r w:rsidRPr="00C97899">
        <w:rPr>
          <w:rFonts w:eastAsia="Times New Roman" w:cs="Times New Roman"/>
          <w:szCs w:val="24"/>
          <w:lang w:eastAsia="es-CO"/>
        </w:rPr>
        <w:t> </w:t>
      </w:r>
    </w:p>
    <w:sectPr w:rsidR="00C97899" w:rsidRPr="00C97899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99"/>
    <w:rsid w:val="0029351E"/>
    <w:rsid w:val="00961BFA"/>
    <w:rsid w:val="00B868ED"/>
    <w:rsid w:val="00B94BED"/>
    <w:rsid w:val="00C97899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09B26B-B7CB-485D-8006-81FFC86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ta.org.co/html/vista_de_un_articulo.asp?Norma=76" TargetMode="External"/><Relationship Id="rId18" Type="http://schemas.openxmlformats.org/officeDocument/2006/relationships/hyperlink" Target="http://www.ceta.org.co/html/vista_de_un_articulo.asp?Norma=76" TargetMode="External"/><Relationship Id="rId26" Type="http://schemas.openxmlformats.org/officeDocument/2006/relationships/hyperlink" Target="http://www.ceta.org.co/html/vista_de_un_articulo.asp?Norma=1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eta.org.co/html/vista_de_un_articulo.asp?Norma=76" TargetMode="External"/><Relationship Id="rId7" Type="http://schemas.openxmlformats.org/officeDocument/2006/relationships/hyperlink" Target="http://www.ceta.org.co/html/vista_de_un_articulo.asp?Norma=76" TargetMode="External"/><Relationship Id="rId12" Type="http://schemas.openxmlformats.org/officeDocument/2006/relationships/hyperlink" Target="http://www.ceta.org.co/html/vista_de_un_articulo.asp?Norma=77" TargetMode="External"/><Relationship Id="rId17" Type="http://schemas.openxmlformats.org/officeDocument/2006/relationships/hyperlink" Target="http://www.ceta.org.co/html/vista_de_un_articulo.asp?Norma=73" TargetMode="External"/><Relationship Id="rId25" Type="http://schemas.openxmlformats.org/officeDocument/2006/relationships/hyperlink" Target="http://www.ceta.org.co/html/vista_de_un_articulo.asp?Norma=12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eta.org.co/html/vista_de_un_articulo.asp?Norma=66" TargetMode="External"/><Relationship Id="rId20" Type="http://schemas.openxmlformats.org/officeDocument/2006/relationships/hyperlink" Target="http://www.ceta.org.co/html/vista_de_un_articulo.asp?Norma=74" TargetMode="External"/><Relationship Id="rId29" Type="http://schemas.openxmlformats.org/officeDocument/2006/relationships/hyperlink" Target="http://www.ceta.org.co/html/vista_de_un_articulo.asp?Norma=12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74" TargetMode="External"/><Relationship Id="rId11" Type="http://schemas.openxmlformats.org/officeDocument/2006/relationships/hyperlink" Target="http://www.ceta.org.co/html/vista_de_un_articulo.asp?Norma=169" TargetMode="External"/><Relationship Id="rId24" Type="http://schemas.openxmlformats.org/officeDocument/2006/relationships/hyperlink" Target="http://www.ceta.org.co/html/vista_de_un_articulo.asp?Norma=12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eta.org.co/html/vista_de_un_articulo.asp?Norma=73" TargetMode="External"/><Relationship Id="rId15" Type="http://schemas.openxmlformats.org/officeDocument/2006/relationships/hyperlink" Target="http://www.ceta.org.co/html/vista_de_un_articulo.asp?Norma=169" TargetMode="External"/><Relationship Id="rId23" Type="http://schemas.openxmlformats.org/officeDocument/2006/relationships/hyperlink" Target="http://www.ceta.org.co/html/vista_de_un_articulo.asp?Norma=77" TargetMode="External"/><Relationship Id="rId28" Type="http://schemas.openxmlformats.org/officeDocument/2006/relationships/hyperlink" Target="http://www.ceta.org.co/html/vista_de_un_articulo.asp?Norma=123" TargetMode="External"/><Relationship Id="rId10" Type="http://schemas.openxmlformats.org/officeDocument/2006/relationships/hyperlink" Target="http://www.ceta.org.co/html/vista_de_un_articulo.asp?Norma=124" TargetMode="External"/><Relationship Id="rId19" Type="http://schemas.openxmlformats.org/officeDocument/2006/relationships/hyperlink" Target="http://www.ceta.org.co/html/vista_de_un_articulo.asp?Norma=77" TargetMode="External"/><Relationship Id="rId31" Type="http://schemas.openxmlformats.org/officeDocument/2006/relationships/hyperlink" Target="http://www.ceta.org.co/html/vista_de_un_articulo.asp?Norma=66" TargetMode="External"/><Relationship Id="rId4" Type="http://schemas.openxmlformats.org/officeDocument/2006/relationships/hyperlink" Target="http://www.ceta.org.co/html/vista_de_un_articulo.asp?Norma=66" TargetMode="External"/><Relationship Id="rId9" Type="http://schemas.openxmlformats.org/officeDocument/2006/relationships/hyperlink" Target="http://www.ceta.org.co/html/vista_de_un_articulo.asp?Norma=123" TargetMode="External"/><Relationship Id="rId14" Type="http://schemas.openxmlformats.org/officeDocument/2006/relationships/hyperlink" Target="http://www.ceta.org.co/html/vista_de_un_articulo.asp?Norma=124" TargetMode="External"/><Relationship Id="rId22" Type="http://schemas.openxmlformats.org/officeDocument/2006/relationships/hyperlink" Target="http://www.ceta.org.co/html/vista_de_un_articulo.asp?Norma=77" TargetMode="External"/><Relationship Id="rId27" Type="http://schemas.openxmlformats.org/officeDocument/2006/relationships/hyperlink" Target="http://www.ceta.org.co/html/vista_de_un_articulo.asp?Norma=77" TargetMode="External"/><Relationship Id="rId30" Type="http://schemas.openxmlformats.org/officeDocument/2006/relationships/hyperlink" Target="http://www.ceta.org.co/html/vista_de_un_articulo.asp?Norma=169" TargetMode="External"/><Relationship Id="rId8" Type="http://schemas.openxmlformats.org/officeDocument/2006/relationships/hyperlink" Target="http://www.ceta.org.co/html/vista_de_un_articulo.asp?Norma=7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2</cp:revision>
  <dcterms:created xsi:type="dcterms:W3CDTF">2016-04-22T18:40:00Z</dcterms:created>
  <dcterms:modified xsi:type="dcterms:W3CDTF">2016-04-22T19:11:00Z</dcterms:modified>
</cp:coreProperties>
</file>